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15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5485"/>
        <w:gridCol w:w="3785"/>
      </w:tblGrid>
      <w:tr w:rsidR="00CC38B8" w:rsidRPr="00CC38B8" w:rsidTr="00FB31E3">
        <w:trPr>
          <w:trHeight w:val="30"/>
        </w:trPr>
        <w:tc>
          <w:tcPr>
            <w:tcW w:w="77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38B8" w:rsidRPr="00CC38B8" w:rsidRDefault="00CC38B8" w:rsidP="00CC38B8">
            <w:pPr>
              <w:spacing w:after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 </w:t>
            </w:r>
          </w:p>
        </w:tc>
        <w:tc>
          <w:tcPr>
            <w:tcW w:w="461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38B8" w:rsidRPr="00CC38B8" w:rsidRDefault="00CC38B8" w:rsidP="00CC38B8">
            <w:pPr>
              <w:spacing w:after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Ақтөбе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облысы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әкімдігінің</w:t>
            </w:r>
            <w:proofErr w:type="spellEnd"/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2015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жылғы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30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желтоқсандағы</w:t>
            </w:r>
            <w:proofErr w:type="spellEnd"/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№ 478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қаулысына</w:t>
            </w:r>
            <w:proofErr w:type="spellEnd"/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1-қосымша</w:t>
            </w:r>
          </w:p>
        </w:tc>
      </w:tr>
    </w:tbl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bookmarkStart w:id="0" w:name="z13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"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Техникалық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кәсіптік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,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орта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білімнен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кейінгі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білімнің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беру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бағдарламаларын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іске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асыратын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беру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ұйымдарындағы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алушыларды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ауыстыру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қайта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қабылдау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"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регламенті</w:t>
      </w:r>
      <w:proofErr w:type="spellEnd"/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bookmarkStart w:id="1" w:name="z14"/>
      <w:bookmarkEnd w:id="0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1.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Жалпы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ережелер</w:t>
      </w:r>
      <w:proofErr w:type="spellEnd"/>
    </w:p>
    <w:bookmarkEnd w:id="1"/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1. "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Техникалық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кәсіптік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кейінгі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бағдарламаларын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іске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асыратын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ұйымдарындағы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алушыларды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ауыстыру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қайта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"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бұдан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техникалық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кәсіптік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кейінгі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ұйымдары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бұдан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көрсетеді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Өтініш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нәтижелерін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кеңсесі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арқылы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жүзеге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асырылады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2.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нысаны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қағаз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жүзінде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. 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3.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Техникалық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кәсіптік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кейінгі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ұйымдарына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ауысу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немесе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қайта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туралы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бұдан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нәтижесі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болып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табылады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нәтижесін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ұсыну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нысаны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: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қағаз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жүзінде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bookmarkStart w:id="2" w:name="z20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2.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үдерісінде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құрылымдық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бөлімшелерінің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қызметкерлерінің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іс-әрекет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тәртібін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сипаттау</w:t>
      </w:r>
      <w:proofErr w:type="spellEnd"/>
    </w:p>
    <w:bookmarkEnd w:id="2"/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4.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Ауыстыру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туралы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еркін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нысандағы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өтініш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бойынша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рәсімдерді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бастауға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негіздеме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болып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табылады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5.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үдерісінің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құрамына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кіретін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әрбір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рәсімнің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мазмұны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оның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орындалу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ұзақтығы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: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1)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маманы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Қазақстан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Республикасы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ғылым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министрінің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міндетін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атқарушысының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2015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жылғы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6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қарашадағы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№ 627 "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Техникалық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кәсіптік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кейінгі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саласында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қызметтер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стандарттарын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бекіту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туралы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"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бұйрығымен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бекітілген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"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Техникалық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кәсіптік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кейінгі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бағдарламаларын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іске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асыратын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ұйымдарындағы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білім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алушыларды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ауыстыру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қайта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"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стандарттың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нормативтық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құқықтық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актілерді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lastRenderedPageBreak/>
        <w:t>тіркеу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тізілімінде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№ 12417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тіркелген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)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бұдан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-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9-тармағында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көрсетілген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қажеттi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тапсырған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сәттен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бастап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оларды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қабылдап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тіркейді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басшысына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қарар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қою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2)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кіріс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құжаттарымен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танысады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айқындайды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қажетті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орындаушысына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3)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бір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ай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ауысу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немесе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2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екі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апта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қайта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бұйрықты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ресімдейді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басшысына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қою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басшысына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бұйрықты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қою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4)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бұйрыққа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қояды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кеңсесіне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қойылған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анықтаманы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кеңсесіне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5)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маманы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бұйрықты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тіркейді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алушыға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нәтижесін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береді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      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Нәтижесі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–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бұйрықты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алушыға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береді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bookmarkStart w:id="3" w:name="z33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3.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үдерісінде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құрылымдық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бөлімшелерінің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қызметкерлерінің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өзара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іс-әрекет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тәртібін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>сипаттау</w:t>
      </w:r>
      <w:proofErr w:type="spellEnd"/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bookmarkEnd w:id="3"/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color w:val="000000"/>
          <w:sz w:val="28"/>
          <w:szCs w:val="28"/>
          <w:lang w:val="kk-KZ"/>
        </w:rPr>
      </w:pP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6.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үдерісіне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қатысатын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көрсетуші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құрылымдық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бөлімшелердің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қызметкерлердің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тізбесі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: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1)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маманы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2)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;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3)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7.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Әрбір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рәсімнің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ұзақтығын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отырып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құрылымдық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бөлімшелер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қызметкерлер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арасындағы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рәсімдердің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іс-әрекеттердің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реттілігін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сипаттау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1) 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proofErr w:type="gram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маманы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Стандарттың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9-тармағында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көрсетілген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қажеттi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lastRenderedPageBreak/>
        <w:t>тапсырған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сәттен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бастап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оларды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қабылдап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,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тіркейді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2) 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proofErr w:type="gram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күн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кіріс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құжаттарымен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танысады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айқындайды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3) 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proofErr w:type="gram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жауапты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орындаушысы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бір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ай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ауысу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немесе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2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екі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апта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қайта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қабылдау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бұйрықты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ресімдейді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басшысына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қою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үшін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4) 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proofErr w:type="gram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басшысы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бұйрыққа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қол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қояды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кеңсесіне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жолдайды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5) 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proofErr w:type="gram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кеңсе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маманы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15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минут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ішінде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бұйрықты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тіркейді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және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алушыға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нәтижесін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береді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      8.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үдерісінде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құрылымдық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бөлімшелерінің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қызметкерлерінің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рәсімдерінің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(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іс-әрекеттерінің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),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өзара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іс-әрекеттерінің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реттілігінің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толық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сипаттамасы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осы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регламентіне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қосымшаға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сәйкес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бизнес-үдерістерінің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анықтамалығында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көрсетіледі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. </w:t>
      </w:r>
      <w:proofErr w:type="spellStart"/>
      <w:proofErr w:type="gram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Мемлекеттік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көрсету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бизнес-үдерістерінің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анықтамалығы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көрсетілетін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қызметті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берушінің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интернет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–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ресурсында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 xml:space="preserve"> </w:t>
      </w:r>
      <w:proofErr w:type="spellStart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орналастырылды</w:t>
      </w:r>
      <w:proofErr w:type="spellEnd"/>
      <w:r w:rsidRPr="00CC38B8">
        <w:rPr>
          <w:rFonts w:ascii="Times New Roman" w:eastAsia="Consolas" w:hAnsi="Times New Roman" w:cs="Times New Roman"/>
          <w:color w:val="000000"/>
          <w:sz w:val="28"/>
          <w:szCs w:val="28"/>
          <w:lang w:val="en-US"/>
        </w:rPr>
        <w:t>.</w:t>
      </w:r>
      <w:proofErr w:type="gramEnd"/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en-US"/>
        </w:rPr>
        <w:t xml:space="preserve"> </w:t>
      </w: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tbl>
      <w:tblPr>
        <w:tblpPr w:leftFromText="180" w:rightFromText="180" w:vertAnchor="page" w:horzAnchor="margin" w:tblpY="594"/>
        <w:tblW w:w="0" w:type="auto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850"/>
        <w:gridCol w:w="5827"/>
      </w:tblGrid>
      <w:tr w:rsidR="00CC38B8" w:rsidRPr="00CC38B8" w:rsidTr="00FB31E3">
        <w:trPr>
          <w:trHeight w:val="540"/>
        </w:trPr>
        <w:tc>
          <w:tcPr>
            <w:tcW w:w="2850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38B8" w:rsidRPr="00CC38B8" w:rsidRDefault="00CC38B8" w:rsidP="00CC38B8">
            <w:pPr>
              <w:spacing w:after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lastRenderedPageBreak/>
              <w:t> </w:t>
            </w:r>
          </w:p>
        </w:tc>
        <w:tc>
          <w:tcPr>
            <w:tcW w:w="582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CC38B8" w:rsidRPr="00CC38B8" w:rsidRDefault="00CC38B8" w:rsidP="00CC38B8">
            <w:pPr>
              <w:spacing w:after="0"/>
              <w:jc w:val="center"/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</w:pPr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"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Техникалық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кәсіптік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орта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білімнен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кейінгі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білімнің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білім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беру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бағдарламаларын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іске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асыратын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білім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беру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ұйымдарындағы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білім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алушыларды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ауыстыру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және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қайта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қабылдау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"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мемлекеттік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көрсетілетін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қызмет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CC38B8">
              <w:rPr>
                <w:rFonts w:ascii="Times New Roman" w:eastAsia="Consolas" w:hAnsi="Times New Roman" w:cs="Times New Roman"/>
                <w:sz w:val="28"/>
                <w:szCs w:val="28"/>
                <w:lang w:val="en-US"/>
              </w:rPr>
              <w:br/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регламентіне</w:t>
            </w:r>
            <w:proofErr w:type="spellEnd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38B8">
              <w:rPr>
                <w:rFonts w:ascii="Times New Roman" w:eastAsia="Consolas" w:hAnsi="Times New Roman" w:cs="Times New Roman"/>
                <w:color w:val="000000"/>
                <w:sz w:val="28"/>
                <w:szCs w:val="28"/>
                <w:lang w:val="en-US"/>
              </w:rPr>
              <w:t>қосымша</w:t>
            </w:r>
            <w:proofErr w:type="spellEnd"/>
          </w:p>
        </w:tc>
      </w:tr>
    </w:tbl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CC38B8">
        <w:rPr>
          <w:rFonts w:ascii="Times New Roman" w:eastAsia="Consolas" w:hAnsi="Times New Roman" w:cs="Times New Roman"/>
          <w:b/>
          <w:color w:val="000000"/>
          <w:sz w:val="28"/>
          <w:szCs w:val="28"/>
          <w:lang w:val="kk-KZ"/>
        </w:rPr>
        <w:t xml:space="preserve">Мемлекеттік қызмет көрсетудің бизнес-үдерістерінің анықтамалығы </w:t>
      </w: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CC38B8">
        <w:rPr>
          <w:rFonts w:ascii="Times New Roman" w:eastAsia="Consola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470C42F" wp14:editId="05231A1E">
            <wp:extent cx="4929467" cy="3486697"/>
            <wp:effectExtent l="19050" t="0" r="4483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9527" cy="3486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</w:p>
    <w:p w:rsidR="00CC38B8" w:rsidRPr="00CC38B8" w:rsidRDefault="00CC38B8" w:rsidP="00CC38B8">
      <w:pPr>
        <w:spacing w:after="0"/>
        <w:rPr>
          <w:rFonts w:ascii="Times New Roman" w:eastAsia="Consolas" w:hAnsi="Times New Roman" w:cs="Times New Roman"/>
          <w:sz w:val="28"/>
          <w:szCs w:val="28"/>
          <w:lang w:val="en-US"/>
        </w:rPr>
      </w:pPr>
      <w:r w:rsidRPr="00CC38B8">
        <w:rPr>
          <w:rFonts w:ascii="Times New Roman" w:eastAsia="Consolas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EAD989D" wp14:editId="54C47CDA">
            <wp:extent cx="5332879" cy="1583128"/>
            <wp:effectExtent l="19050" t="0" r="1121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0414" cy="15823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38B8" w:rsidRPr="00CC38B8" w:rsidRDefault="00CC38B8" w:rsidP="00CC38B8">
      <w:pPr>
        <w:rPr>
          <w:rFonts w:ascii="Times New Roman" w:eastAsia="Consolas" w:hAnsi="Times New Roman" w:cs="Times New Roman"/>
          <w:sz w:val="28"/>
          <w:szCs w:val="28"/>
          <w:lang w:val="kk-KZ"/>
        </w:rPr>
      </w:pPr>
      <w:r w:rsidRPr="00CC38B8">
        <w:rPr>
          <w:rFonts w:ascii="Times New Roman" w:eastAsia="Consolas" w:hAnsi="Times New Roman" w:cs="Times New Roman"/>
          <w:sz w:val="28"/>
          <w:szCs w:val="28"/>
          <w:lang w:val="en-US"/>
        </w:rPr>
        <w:br/>
      </w:r>
    </w:p>
    <w:p w:rsidR="00B11D0E" w:rsidRDefault="00B11D0E">
      <w:bookmarkStart w:id="4" w:name="_GoBack"/>
      <w:bookmarkEnd w:id="4"/>
    </w:p>
    <w:sectPr w:rsidR="00B11D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19E6"/>
    <w:rsid w:val="00B11D0E"/>
    <w:rsid w:val="00B619E6"/>
    <w:rsid w:val="00CC3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B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C3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C38B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899</Words>
  <Characters>5130</Characters>
  <Application>Microsoft Office Word</Application>
  <DocSecurity>0</DocSecurity>
  <Lines>42</Lines>
  <Paragraphs>12</Paragraphs>
  <ScaleCrop>false</ScaleCrop>
  <Company>SPecialiST RePack</Company>
  <LinksUpToDate>false</LinksUpToDate>
  <CharactersWithSpaces>6017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Шолпан</dc:creator>
  <cp:keywords/>
  <dc:description/>
  <cp:lastModifiedBy>Шолпан</cp:lastModifiedBy>
  <cp:revision>2</cp:revision>
  <dcterms:created xsi:type="dcterms:W3CDTF">2019-03-25T12:35:00Z</dcterms:created>
  <dcterms:modified xsi:type="dcterms:W3CDTF">2019-03-25T12:35:00Z</dcterms:modified>
</cp:coreProperties>
</file>