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1C" w:rsidRPr="002A68B2" w:rsidRDefault="0066081C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eastAsia="ru-RU"/>
        </w:rPr>
      </w:pPr>
      <w:r w:rsidRPr="002A6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Қазақстан Республикасы</w:t>
      </w:r>
      <w:proofErr w:type="gramStart"/>
      <w:r w:rsidRPr="002A6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2A6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proofErr w:type="gramEnd"/>
      <w:r w:rsidRPr="002A6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ілім және ғылым министрінің</w:t>
      </w:r>
      <w:r w:rsidRPr="002A6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2015 жылғы 07 қарашадағы</w:t>
      </w:r>
      <w:r w:rsidRPr="002A6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№ 627 бұйрығына</w:t>
      </w:r>
      <w:r w:rsidRPr="002A68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  <w:t>2-қосымша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 xml:space="preserve">"Техникалық және кәсіптік, орта білімнен кейінгі білім алуды аяқтамаған адамдарға анықтама беру" мемлекеттік </w:t>
      </w:r>
      <w:proofErr w:type="gramStart"/>
      <w:r w:rsidRPr="002A68B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өрсетілетін қызмет стандарты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Ескерту. Стандарт жаңа редакцияда – Қ</w:t>
      </w:r>
      <w:proofErr w:type="gramStart"/>
      <w:r w:rsidRPr="002A68B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Р</w:t>
      </w:r>
      <w:proofErr w:type="gramEnd"/>
      <w:r w:rsidRPr="002A68B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 xml:space="preserve"> Білім және ғылым министрінің 15.05.2018 </w:t>
      </w:r>
      <w:hyperlink r:id="rId5" w:anchor="z3" w:history="1">
        <w:r w:rsidRPr="002A68B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205</w:t>
        </w:r>
      </w:hyperlink>
      <w:r w:rsidRPr="002A68B2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(алғашқы ресми жарияланған күнінен кейін күнтізбелік он күн өткен соң қолданысқа енгізіледі) бұйрығымен.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1-тарау. Жалпы ережелер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1. "Техникалық және кәсіптік, орта білімнен кейінгі білім алуды аяқтамаған адамдарға анықтама беру"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қызметі (бұдан әрі - мемлекеттік көрсетілетін қызмет).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2.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 стандартын Қазақстан Республикасы Білім және ғылым министрлігі (бұдан әрі - Министрлік) әзірледі.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қызметті техникалық және кәсіптік, орта білімнен кейінгі білім беру ұйымдары (бұдан әрі – көрсетілетін қызметті беруші) көрсетеді.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Өтініштерді қабылдау және мемлекеттік қызмет көрсету нәтижелерін беру: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көрсетілетін қызметті берушінің кеңсесі;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"Азаматтарға арналған үкімет" мемлекеттік корпорациясы" коммерциялық емес акционерлік қоғамы" (бұдан ә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 – Мемлекеттік корпорация) арқылы жүзеге асырылады.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2-тарау. Мемлекеттік қызмет көрсету тәртібі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Мемлекеттік қызметті көрсету мерзімдері: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орналасқан жері бойынша көрсетілетін қызметті берушіге,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корпорация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құжаттар топтамасын тапсырған сәттен бастап – 3 (үш) жұмыс күні, көрсетілетін қызметті берушінің орналасқан жерінде болмаса – 8 (сегіз) жұмыс күні.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Мемлекеттік корпорацияға жүгінген кезде қабылдау күні мемлекеттік қызмет көрсету мерзіміне кірмейді. Көрсетілетін қызметті беруші Мемлекеттік корпорацияға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қызметтің нәтижесін мемлекеттік қызмет көрсету мерзімі өткенге дейін кемінде бір тәулік бұрын жеткізуді қамтамасыз етеді;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2) көрсетілетін қызметті алушының құжаттар топтамасын тапсыруы үшін күтудің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ұқсат етілген ең ұзақ уақыты – 20 (жиырма) минут, Мемлекеттік корпорацияда – 15 (он бес) минут;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3) көрсетілген қызметті алушыға қызмет көрсетудің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ұқсат етілген ең ұзақ уақыты – 30 (отыз) минут, Мемлекеттік корпорацияда – 15 (он бес) минут.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5. Мемлекеттік қызмет көрсету нысаны: қағ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аз ж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үзінде.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6. Мемлекеттік қызметті көрсету нәтижесі – Қазақстан Республикасы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Б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ілім және ғылым министрінің 2009 жылғы 12 маусымдағы № 289 </w:t>
      </w:r>
      <w:hyperlink r:id="rId6" w:anchor="z1" w:history="1">
        <w:r w:rsidRPr="002A68B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бұйрығымен</w:t>
        </w:r>
      </w:hyperlink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(Нормативтік құқықтық актілерді мемлекеттік тіркеу тізілімінде № 5717 болып тіркелген) бекітілген нысан бойынша техникалық және кәсіптік, орта білімнен кейінгі білім алуды аяқтамаған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адамдар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анықтама беру.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7. Мемлекеттік қызмет жеке тұлғаларға (бұдан ә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 - көрсетілетін қызметті алушы) тегін көрсетіледі.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8.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ұмыс кестесі: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1) көрсетілетін қызметті берушінің жұмыс кестесі – Қазақстан Республикасының еңбек заңнамасына сәйкес демалыс және мереке күндерін қоспағанда, дүйсенбіден бастап жұманы қоса алғанда, сағат 9.00-ден 18.00-ге дейін, сағат 13.00-ден 14.00-ге дейінгі түскі үзіліспен 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қызметті берушінің белгіленген жұмыс кестесіне сәйкес;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Мемлекеттік корпорацияда – Қазақстан Республикасының еңбек заңнамасына сәйкес жексенбі және мереке күндерін қоспағанда, дүйсенбіден бастап сенбіні қоса алғанда, түскі үзіліссіз сағат 9.00-ден 20.00-ге дейін.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Құжаттарды қабылдау көрсетілетін қызмет алушының таңдауы бойынша "электронды" кезек тәртібінде, жеделдеті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қызмет көрсетусіз жүзеге асырылады, портал арқылы электронды кезекті броньдаға болады.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9. Көрсетілетін қызметті алушы жү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г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інген кезде мемлекеттік қызметті көрсету үшін қажетті құжаттар тізбесі: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      көрсетілетін қызметті берушіге: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көрсетілетін қызметті алушының (не оның заңды өкілінің) осы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 стандартына </w:t>
      </w:r>
      <w:hyperlink r:id="rId7" w:anchor="z82" w:history="1">
        <w:r w:rsidRPr="002A68B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1-қосымшаға</w:t>
        </w:r>
      </w:hyperlink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сәйкес нысан бойынша техникалық және кәсіптік, орта білімнен кейінгі білім беру ұйымы басшысының атына техникалық және кәсіптік, орта білімнен кейінгі білім алуды аяқтамаған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адамдар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анықтама беру туралы өтініші;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жеке басын куәландыратын құжаттың көшірмесі (тү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пн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ұсқасы сәйкестендіру үшін талап етіледі).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Құжаттардың қабылданғандығын растау осы мемлекеттік қызмет стандартына </w:t>
      </w:r>
      <w:hyperlink r:id="rId8" w:anchor="z81" w:history="1">
        <w:r w:rsidRPr="002A68B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2-қосымшаға</w:t>
        </w:r>
      </w:hyperlink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сәйкес құжаттарды қабылдаған тұлғаның аты-жөні, сондай-ақ мө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і, кіріс нөмірі мен күні көрсетілген қолхат беру болып табылады.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Мемлекетті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корпорацияға: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1) көрсетілетін қызметті алушының (не оның заңды өкілінің) осы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 стандартына </w:t>
      </w:r>
      <w:hyperlink r:id="rId9" w:anchor="z82" w:history="1">
        <w:r w:rsidRPr="002A68B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1-қосымшаға</w:t>
        </w:r>
      </w:hyperlink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сәйкес нысан бойынша техникалық және кәсіптік, орта білімнен кейінгі білім беру ұйымы басшысының атына техникалық және кәсіптік, орта білімнен кейінгі білім алуды аяқтамаған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адамдар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анықтама беру туралы өтініші;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көрсетілетін қызметті алушының жеке басын куәландыратын құжат (тү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пн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ұсқасы сәйкестендіру үшін талап етіледі);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Жеке басын куәландыратын құжат туралы мәліметті Мемлекеттік корпорацияның қызметкері "электрондық үкімет" шлюзі арқылы тиі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 мемлекеттік ақпараттық жүйелерден алады және оны көрсетілетін қызметті берушіге жолдайды.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Егер Қазақстан Республикасының заңдарында өзгеше көзделмесе, көрсетілетін қызметті беруші мен Мемлекеттік корпорация қызметкері көрсетілетін қызметті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алушыны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ң ақпараттық жүйелердегі заңмен қорғалатын құпияны құрайтын мәліметтерді пайдалануға келісімін алады.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Құжаттар Мемлекеттік корпорация арқылы қабылданған жағдайда көрсетілетін қызметті алушыға тиі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 құжаттардың қабылданғаны туралы қолхат беріледі.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Мемлекеттік корпорацияға жеке басын куәландыратын құжатты көрсеткен кезде (немесе нотариалды куәландырылған сенімхат бойынша оның өкілі) дайын құжаттарды беру тиі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ст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 құжаттардың қабылданғаны туралы қолхат негізінде жүзеге асырылады.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Мемлекеттік корпорация мемлекеттік қызметті көрсету нәтижесін бі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ай ішінде сақтауды қамтамасыз етеді, содан кейін оларды одан әрі сақтау үшін көрсетілген қызметті берушіге тапсырады. Көрсетілетін қызметті алушы бі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10. Көрсетілетін қызметті алушы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қызметті алу үшін ұсынған құжаттардың дұрыс еместігі анықталған кезде көрсетілетін қызметті беруші мемлекеттік қызметті көрсетуден бас тартады.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Көрсетілетін қызметті алушы осы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 стандартының 9-тармағында көзделген тізбеге сәйкес құжаттар топтамасын толық ұсынбаған жағдайда: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көрсетілетін қызметті беруші еркін нысанда құжаттарды қабылдаудан бас тарту туралы қолхат береді;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Мемлекеттік корпорацияның қызметкері өтінішті қабылдаудан бас тартады және осы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 стандартына 3-қосымшаға сәйкес нысан бойынша құжаттарды қабылдаудан бас тарту туралы қолхат береді.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3-тарау. Орталық мемлекеттік органның, сондай-ақ көрсетілетін қызметті беруші</w:t>
      </w:r>
      <w:proofErr w:type="gramStart"/>
      <w:r w:rsidRPr="002A68B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нің ж</w:t>
      </w:r>
      <w:proofErr w:type="gramEnd"/>
      <w:r w:rsidRPr="002A68B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әне (немесе) олардың лауазымды адамдарының, Мемлекеттік корпорацияның және (немесе) оның қызметкерлерінің мемлекеттік қызметтер көрсету мәселелері бойынша шешімдеріне, әрекеттеріне (әрекетсіздігіне) шағымдану тәртібі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11. Министрліктің, көрсетілетін қызметті беруші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нің ж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әне (немесе) оның лауазымды адамдарының мемлекеттік қызметтер көрсету мәселелері бойынша шешімдеріне, әрекеттеріне (әрекетсіздігіне) шағымдану: шағым жазбаша түрде: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осы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 стандартының 14-тармағында көрсетілген мекенжай бойынша Министрлік басшысының не оны алмастыратын адамның атына;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      осы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 стандартының 14-тармағында көрсетілген мекенжай бойынша көрсетілетін қызметті беруші басшысының атына беріледі.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Шағымның қабылдануын растау шағымды қабылдаған адамның тегі мен аты-жөні, берілген шағымға жауап алу мерзімі мен орны көрсетіле отырып, оның Министрліктің, көрсетілетін қызметті берушінің кеңсесінде тіркелуі (мөртаңба, кі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іс нөмірі және күні шағымның екінші данасына немесе шағ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ым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ілеспе хатқа қойылады) болып табылады.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Мемлекеттік корпорация қызметкерінің шешіміне, әрекеттеріне (әрекетсіздігіне) шағым осы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 стандартының 14-тармағында көрсетілген мекенжайлар мен телефондар бойынша Мемлекеттік корпорацияның басшысына жіберіледі.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Мемлекеттік корпорацияға қолм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а-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қол, сол сияқты поштамен түскен шағымның қабылдануын растауоның тіркелуі (мөртабан, кіріс нөмірі мен тіркеу күні шағымның екінші данасына немесе шағымға ілеспе хатқа қойылады) болып табылады.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Көрсетілетін қызметті берушінің немесе Мемлекеттік корпорацияға түскен көрсетілетін қызмет алушының шағымы тіркелген күнінен бастап 5 жұмыс күні ішінде қаралуы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тиіс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 Шағымды қарау нәтижесі туралы дәлелді жауап пошта арқылы немесе көрсетілетін қызмет берушінің кеңсесінде немесе Мемлекеттік корпорацияда қолм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а-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қол беріледі.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Көрсетілген мемлекеттік қызмет нәтижелерімен келіспеген жағдайда, көрсетілетін қызметті беруші мемлекеттік қызметтер көрсету сапасын бағалау және бақылау жөніндегі уәкілетті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орган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шағыммен жүгіне алады.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Мемлекеттік қызметтер көрсету сапасын бағалау және бақылау жөніндегі уәкілетті органның атына келі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түскен көрсетілетін қызметті алушының шағымы тіркелген күнінен бастап 15 (он бес) жұмыс күні ішінде қаралуға жатады.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Шағымдар портал арқылы жіберілген кезде көрсетілетін қызметті алушыға "жеке кабинетінен" мемлекеттік қызметті берушінің шағымды өңдеу барысында (жеткені, тіркелгені, орындалғаны туралы белгілер, қарау немесе қараудан бас тарту туралы жауап) жаңартылатын өтініш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ақпарат қолжетімді болады.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12. Көрсетілген мемлекеттік қызмет нәтижелерімен келіспеген жағдайда, көрсетілетін қызметті алушы Қазақстан Республикасының заңнамасында белгіленген тәртіппен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сот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қа жүгінуге құқылы.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4-тарау. Мемлекеттік қызмет көрсетудің, оның ішінде Мемлекетті</w:t>
      </w:r>
      <w:proofErr w:type="gramStart"/>
      <w:r w:rsidRPr="002A68B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корпорация арқылы көрсетудің ерекшеліктері ескеріле отырып қойылатын өзге де талаптар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13. Заңнамада белгіленген тәртіппен ө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з-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өзіне қызмет көрсетуді, өздігінен қозғалуды, бағдар жасауды жүзеге асыру қабілетін немесе мүмкіндігін толық немесе жартылай жоғалтқан көрсетілетін қызметті алушылардан 1414, 8 800 080 7777 бірыңғай байланыс орталығы арқылы жүгінген кезде мемлекеттік қызмет көрсету үшін қажетті құжаттар қабылдауды көрсетілетін қызметті алушының тұратын жеріне бара отырып, Мемлекеттік корпорацияның қызметкері жүргізеді.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14. Мемлекеттік қызмет көрсету орындарының мекенжайлары: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Министрліктің www.edu.gov.kz;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Мемлекеттік корпорацияның www.con.gov4с.kz интернет-ресурсында орналастырылған.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15. Көрсетілетін қызметті алушы мемлекеттік қызмет көрсету тәртібі және мәртебесі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туралы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ақпаратты 1414, 8 800 080 7777 бірыңғай байланыс орталығы арқылы алады.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16. Көрсетілетін қызметті берушінің байланыс телефондары Министрліктің www.edu.gov.kz жә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не б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ірыңғай байланыс орталығының www.egov.kz интернет-ресурсында орналастырылған.</w:t>
      </w: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81C" w:rsidRPr="002A68B2" w:rsidRDefault="0066081C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lastRenderedPageBreak/>
        <w:t>"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Техникалық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білімнен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кейінгі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алуды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аяқтамаған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адамдарға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анықтама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"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көрсетілетін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стандартына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1-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қосымша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Техникалық және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әсіптік, орта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білімнен кейінгі білім беру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ұйымы басшысының тегі, аты,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әкесінің аты (бар болған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жағдайда)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_____________________курстың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____________________тобының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__________мамандығы бойынша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_______________оқу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нысанында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_________________оқуға түскен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___________оқудан шығарылған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көрсетілетін қызмет алушы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тегі, аты, әкесінің аты (бар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болған жағдайда) толық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тегі, аты, әкесінің аты (бар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болған жағдайда)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өзгерген жағдайда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көрсетілетін қызметті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алушының байланыс деректері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Өтініш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Маған_____________________________________________________________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себебін көрсету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___________________________________________________________________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Техникалық және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әсіптік, орта білімнен кейінгі білім беруді аяқтамағаным туралы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анықтама беруді сұраймын.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ң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мен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қорғалатын құпияны құрайтын, ақпараттық жүйелерде қамтылған мәліметтерді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пайдалану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ға келісемін.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"____"_______________20__ ж. _____________________ /қолы/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Ескертпе: 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қызметті алушының тегі, аты, әкесінің аты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(бар болған жағдайда) жеке басын куәландыратын құжатқа сәйкес баспа ә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іптермен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Толтырылады</w:t>
      </w: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2A68B2" w:rsidRDefault="002A68B2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66081C" w:rsidRPr="002A68B2" w:rsidRDefault="0066081C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Техникалық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кәсіптік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,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орта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білімнен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кейінгі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білім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алуды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аяқтамаған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адамдарға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анықтама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"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мемлекеттік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proofErr w:type="gramStart"/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өрсетілетін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қызмет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стандартына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2-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қосымша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(көрсетілетін қызметті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алушының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Т.А.Ә (болған жағдайда)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немесе ұйымның атауы)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____________________________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(көрсетілетін қызметті</w:t>
      </w: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алушының мекенжайы)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Нысан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Құжаттарды қабылдаудан бас тарту туралы қолхат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"Мемлекеттік көрсетілетін қызметтер туралы" 2013 жылғы 15 cәуірдегі Қазақстан Республикасы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З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аңының </w:t>
      </w:r>
      <w:hyperlink r:id="rId10" w:anchor="z24" w:history="1">
        <w:r w:rsidRPr="002A68B2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20-бабының</w:t>
        </w:r>
      </w:hyperlink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2-тармағын басшылыққа ала отырып, "Азаматтарға арналған үкімет" мемлекеттік корпорациясы филиалының №__ бөлімі (мекенжайын көрсету)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(мемлекеттік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к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өрсетілетін қызметтің атауын мемлекеттік көрсетілетін қызмет стандартына сәйкес көрсету) құжаттарды қабылдаудан бас тартады, атап айтқанда: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Жоқ құжаттардың атауы: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1)_______________________________;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2)_______________________________.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Осы қолхат ә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proofErr w:type="gramEnd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тарапқа бір-бірден 2 (екі) данада жасалды.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_____________________________ __________________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(Т.А.Ә. (болған жағдайда)</w:t>
      </w:r>
      <w:proofErr w:type="gramEnd"/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Мемлекеттік корпорацияның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  <w:proofErr w:type="gramStart"/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қызметкері) (қолы)</w:t>
      </w:r>
      <w:proofErr w:type="gramEnd"/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Орындаушы: Т.А.Ә. (болған жағдайда)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Телефоны _____________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Алдым: Т.А.Ә. (болған жағдайда) / көрсетілетін қызметті алушының</w:t>
      </w:r>
    </w:p>
    <w:p w:rsidR="0066081C" w:rsidRPr="002A68B2" w:rsidRDefault="0066081C" w:rsidP="002A68B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A68B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қолы "___" _________ 20__ ж.</w:t>
      </w:r>
    </w:p>
    <w:p w:rsidR="009776E8" w:rsidRPr="002A68B2" w:rsidRDefault="009776E8" w:rsidP="002A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76E8" w:rsidRPr="002A68B2" w:rsidSect="0066081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39D"/>
    <w:rsid w:val="002A68B2"/>
    <w:rsid w:val="004D739D"/>
    <w:rsid w:val="0066081C"/>
    <w:rsid w:val="0097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0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08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66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08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8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608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08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660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6081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A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68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241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500012417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090005717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dilet.zan.kz/kaz/docs/V1800017040" TargetMode="External"/><Relationship Id="rId10" Type="http://schemas.openxmlformats.org/officeDocument/2006/relationships/hyperlink" Target="http://adilet.zan.kz/kaz/docs/Z13000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5000124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2110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3</cp:revision>
  <cp:lastPrinted>2019-03-20T06:46:00Z</cp:lastPrinted>
  <dcterms:created xsi:type="dcterms:W3CDTF">2019-03-20T06:06:00Z</dcterms:created>
  <dcterms:modified xsi:type="dcterms:W3CDTF">2019-03-20T06:46:00Z</dcterms:modified>
</cp:coreProperties>
</file>